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  <w:r>
        <w:rPr>
          <w:rFonts w:hint="eastAsia" w:ascii="Times New Roman" w:hAnsi="Times New Roman" w:cs="Times New Roman" w:eastAsiaTheme="majorEastAsia"/>
          <w:b/>
          <w:sz w:val="36"/>
          <w:szCs w:val="36"/>
        </w:rPr>
        <w:t>河北工业大学</w:t>
      </w:r>
      <w:r>
        <w:rPr>
          <w:rFonts w:ascii="Times New Roman" w:hAnsi="Times New Roman" w:cs="Times New Roman" w:eastAsiaTheme="majorEastAsia"/>
          <w:b/>
          <w:sz w:val="36"/>
          <w:szCs w:val="36"/>
        </w:rPr>
        <w:t>第十五届高校青年教师教学竞赛</w:t>
      </w:r>
    </w:p>
    <w:p>
      <w:pPr>
        <w:jc w:val="center"/>
        <w:rPr>
          <w:rFonts w:ascii="Times New Roman" w:hAnsi="Times New Roman" w:cs="Times New Roman" w:eastAsiaTheme="majorEastAsia"/>
          <w:b/>
          <w:kern w:val="0"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sz w:val="36"/>
          <w:szCs w:val="36"/>
        </w:rPr>
        <w:t>教学</w:t>
      </w:r>
      <w:r>
        <w:rPr>
          <w:rFonts w:ascii="Times New Roman" w:hAnsi="Times New Roman" w:cs="Times New Roman" w:eastAsiaTheme="majorEastAsia"/>
          <w:b/>
          <w:kern w:val="0"/>
          <w:sz w:val="36"/>
          <w:szCs w:val="36"/>
        </w:rPr>
        <w:t>节段目录（范例）</w:t>
      </w:r>
    </w:p>
    <w:p>
      <w:pPr>
        <w:rPr>
          <w:rFonts w:ascii="Times New Roman" w:hAnsi="Times New Roman" w:cs="Times New Roman"/>
          <w:kern w:val="0"/>
        </w:rPr>
      </w:pPr>
    </w:p>
    <w:p>
      <w:pPr>
        <w:rPr>
          <w:rFonts w:ascii="Times New Roman" w:hAnsi="Times New Roman" w:cs="Times New Roman"/>
          <w:kern w:val="0"/>
        </w:rPr>
      </w:pPr>
    </w:p>
    <w:p>
      <w:pPr>
        <w:spacing w:line="540" w:lineRule="exact"/>
        <w:ind w:firstLine="56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《遗传学》教学大纲基本教学内容包含 13 章，此次教学设计的 20 个节段分别选自第1、3、4、5、7、8、9、10、11、12 等 10 章。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性取向的遗传分析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选自第一章：遗传与变异/第三节：遗传学的研究策略与方法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人类进化的遗传分析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选自第一章：遗传与变异/第四节：身边的遗传学案例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复等位基因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选自第三章：孟德尔遗传的拓展/第二节：复等位基因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线粒体遗传  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选自第三章：孟德尔遗传的拓展 / 第六节：核外遗传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“三位一体”的基因概念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选自第四章：基因概念的发展/第一节：基因概念的产生与早期发展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基因可跳跃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选自第四章：基因概念的发展/第二节：基因概念在分子水平的发展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基因诊断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选自第五章：连锁与交换/第三节：分子遗传标记与基因诊断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染色体倒位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选自第七章：染色体畸变/第二节：染色体结构变异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染色体重复与易位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选自第七章：染色体畸变/第二节：染色体结构变异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非整倍体与人类疾病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选自第七章：染色体畸变/第三节：染色体数目变异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病毒基因组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选自第八章：基因组/第一节：基因组概论 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后基因组时代的研究工作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选自第八章：基因组/第五节：后基因组时代的研究工作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大肠杆菌的转录中调控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选自第九章：基因表达调控/第一节：原核细胞的基因表达调控 II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真核细胞的转录中调控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选自第九章：基因表达调控/第二节：真核细胞的基因表达调控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RNA 介导的基因沉默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选自第九章：基因表达调控/第四节：表观遗传调控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果蝇早期胚胎发育中的关键调节基因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选自第十章：基因与发育/第二节：果蝇胚胎发育的遗传分析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人类的性别决定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选自第十章：基因与发育/第五节：性别决定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遗传分析的基本策略与方法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选自第十一章：遗传分析方法/第一节：遗传分析的基本策略与方法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人类单基因性状的基因克隆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选自第十一章：遗传分析方法/第二节：人类单基因性状的基因克隆</w:t>
      </w:r>
    </w:p>
    <w:p>
      <w:pPr>
        <w:pStyle w:val="5"/>
        <w:numPr>
          <w:ilvl w:val="0"/>
          <w:numId w:val="1"/>
        </w:numPr>
        <w:spacing w:line="540" w:lineRule="exact"/>
        <w:ind w:firstLineChars="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肿瘤相关基因 </w:t>
      </w:r>
    </w:p>
    <w:p>
      <w:pPr>
        <w:spacing w:line="54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选自第十二章：肿瘤生物学/第二节：肿瘤发生发展中的遗传学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57D2D"/>
    <w:multiLevelType w:val="multilevel"/>
    <w:tmpl w:val="79F57D2D"/>
    <w:lvl w:ilvl="0" w:tentative="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6" w:hanging="420"/>
      </w:pPr>
    </w:lvl>
    <w:lvl w:ilvl="2" w:tentative="0">
      <w:start w:val="1"/>
      <w:numFmt w:val="lowerRoman"/>
      <w:lvlText w:val="%3."/>
      <w:lvlJc w:val="right"/>
      <w:pPr>
        <w:ind w:left="1816" w:hanging="420"/>
      </w:pPr>
    </w:lvl>
    <w:lvl w:ilvl="3" w:tentative="0">
      <w:start w:val="1"/>
      <w:numFmt w:val="decimal"/>
      <w:lvlText w:val="%4."/>
      <w:lvlJc w:val="left"/>
      <w:pPr>
        <w:ind w:left="2236" w:hanging="420"/>
      </w:pPr>
    </w:lvl>
    <w:lvl w:ilvl="4" w:tentative="0">
      <w:start w:val="1"/>
      <w:numFmt w:val="lowerLetter"/>
      <w:lvlText w:val="%5)"/>
      <w:lvlJc w:val="left"/>
      <w:pPr>
        <w:ind w:left="2656" w:hanging="420"/>
      </w:pPr>
    </w:lvl>
    <w:lvl w:ilvl="5" w:tentative="0">
      <w:start w:val="1"/>
      <w:numFmt w:val="lowerRoman"/>
      <w:lvlText w:val="%6."/>
      <w:lvlJc w:val="right"/>
      <w:pPr>
        <w:ind w:left="3076" w:hanging="420"/>
      </w:pPr>
    </w:lvl>
    <w:lvl w:ilvl="6" w:tentative="0">
      <w:start w:val="1"/>
      <w:numFmt w:val="decimal"/>
      <w:lvlText w:val="%7."/>
      <w:lvlJc w:val="left"/>
      <w:pPr>
        <w:ind w:left="3496" w:hanging="420"/>
      </w:pPr>
    </w:lvl>
    <w:lvl w:ilvl="7" w:tentative="0">
      <w:start w:val="1"/>
      <w:numFmt w:val="lowerLetter"/>
      <w:lvlText w:val="%8)"/>
      <w:lvlJc w:val="left"/>
      <w:pPr>
        <w:ind w:left="3916" w:hanging="420"/>
      </w:pPr>
    </w:lvl>
    <w:lvl w:ilvl="8" w:tentative="0">
      <w:start w:val="1"/>
      <w:numFmt w:val="lowerRoman"/>
      <w:lvlText w:val="%9."/>
      <w:lvlJc w:val="right"/>
      <w:pPr>
        <w:ind w:left="43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A4A"/>
    <w:rsid w:val="00B55A4A"/>
    <w:rsid w:val="00BF1018"/>
    <w:rsid w:val="594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129</Words>
  <Characters>739</Characters>
  <Lines>6</Lines>
  <Paragraphs>1</Paragraphs>
  <TotalTime>2</TotalTime>
  <ScaleCrop>false</ScaleCrop>
  <LinksUpToDate>false</LinksUpToDate>
  <CharactersWithSpaces>867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2019-12-11T08:16:00Z</dcterms:created>
  <dc:creator>石军</dc:creator>
  <cp:lastModifiedBy>王永学</cp:lastModifiedBy>
  <cp:lastPrinted>2020-04-28T23:06:20Z</cp:lastPrinted>
  <dcterms:modified xsi:type="dcterms:W3CDTF">2020-04-28T23:07:10Z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